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333333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LED медиаштендер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Q</w:t>
      </w:r>
      <w:r w:rsidDel="00000000" w:rsidR="00000000" w:rsidRPr="00000000">
        <w:rPr>
          <w:color w:val="222222"/>
          <w:sz w:val="28"/>
          <w:szCs w:val="28"/>
          <w:highlight w:val="white"/>
          <w:rtl w:val="0"/>
        </w:rPr>
        <w:t xml:space="preserve">5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ЕCO Outdoor 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640x1120</w:t>
      </w:r>
    </w:p>
    <w:p w:rsidR="00000000" w:rsidDel="00000000" w:rsidP="00000000" w:rsidRDefault="00000000" w:rsidRPr="00000000" w14:paraId="00000002">
      <w:pPr>
        <w:jc w:val="center"/>
        <w:rPr>
          <w:color w:val="333333"/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rtl w:val="0"/>
        </w:rPr>
        <w:t xml:space="preserve">LED медіаштендер Q5 ЕСО Outdoor 640x1120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LED медиаштендер – это инновационный инструмент для продвижения товаров и услуг он позволяет использовать динамическую рекламу с возможностью воспроизведения видео, слайд шоу, текста, 3D текста, анимации. Компактные размеры и мобильность позволяют легко переносить с места на место LED медиаштендер, а также быстро менять дизайн помещения.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LED медіаштендер - це інноваційний інструмент для просування товарів і послуг він дозволяє використовувати динамічну рекламу з можливістю відтворення відео, слайд шоу, тексту, 3D тексту, анімації. Компактні розміри і мобільність LED медіаштендера дозволяють легко переносити з місця на місце, а також швидко змінювати дизайн приміщення.</w:t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Размер экрана (мм)</w:t>
      </w:r>
      <w:r w:rsidDel="00000000" w:rsidR="00000000" w:rsidRPr="00000000">
        <w:rPr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640x1120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Тип экрана - outdoor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Шаг пикселя - 5 мм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Оптимальное расстояние просмотра - от 5 м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Яркость - </w:t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5500</w:t>
      </w:r>
      <w:r w:rsidDel="00000000" w:rsidR="00000000" w:rsidRPr="00000000">
        <w:rPr>
          <w:sz w:val="20"/>
          <w:szCs w:val="20"/>
          <w:rtl w:val="0"/>
        </w:rPr>
        <w:t xml:space="preserve"> кд/м2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Кол. оттенков - 16,7 млн</w:t>
      </w:r>
    </w:p>
    <w:p w:rsidR="00000000" w:rsidDel="00000000" w:rsidP="00000000" w:rsidRDefault="00000000" w:rsidRPr="00000000" w14:paraId="0000000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Потребляемая мощность (Средняя) - 200W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Класс защиты - IP65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Срок службы - 100 000 часов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Розмір екрану (мм) -640x1120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Тип екрану - outdoor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Крок пікселя - 5 мм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Оптимальна відстань перегляду - від 5 м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Яскравість - 5500 кд / м2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Кол. відтінків - 16,7 млн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Споживана потужність (Середня) - 200W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Клас захисту - IP65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Термін служби - 100 000 годин</w:t>
      </w:r>
    </w:p>
    <w:p w:rsidR="00000000" w:rsidDel="00000000" w:rsidP="00000000" w:rsidRDefault="00000000" w:rsidRPr="00000000" w14:paraId="0000001C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00" w:line="240" w:lineRule="auto"/>
        <w:ind w:lef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00" w:line="240" w:lineRule="auto"/>
        <w:ind w:left="0" w:firstLine="0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54"/>
          <w:szCs w:val="54"/>
          <w:rtl w:val="0"/>
        </w:rPr>
        <w:t xml:space="preserve">Характеристики</w:t>
      </w:r>
    </w:p>
    <w:tbl>
      <w:tblPr>
        <w:tblStyle w:val="Table1"/>
        <w:tblW w:w="46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1776"/>
        <w:tblGridChange w:id="0">
          <w:tblGrid>
            <w:gridCol w:w="2853"/>
            <w:gridCol w:w="1776"/>
          </w:tblGrid>
        </w:tblGridChange>
      </w:tblGrid>
      <w:t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LED штендер M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Исполнение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Outdoor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светодиода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SMD2525</w:t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Шаг пикселя (мм)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5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Разрешение экрана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128x224</w:t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экрана (мм)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640x1120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Площадь экрана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0.7168m2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(Максимальная)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600W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(Средняя)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200W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Яркость (нит)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5500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Угол обзора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140° / 140°</w:t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Входное напряжение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AC220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Частота обновления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1920HZ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Рабочая температура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-20°C~60°C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Срок службы (часов)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100,000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Защита 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IP65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Глубина цвета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16bit</w:t>
            </w:r>
          </w:p>
        </w:tc>
      </w:tr>
    </w:tbl>
    <w:p w:rsidR="00000000" w:rsidDel="00000000" w:rsidP="00000000" w:rsidRDefault="00000000" w:rsidRPr="00000000" w14:paraId="00000042">
      <w:pPr>
        <w:spacing w:after="20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